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20</w:t>
      </w:r>
      <w:r>
        <w:rPr>
          <w:rFonts w:hint="eastAsia" w:ascii="黑体" w:hAnsi="黑体" w:eastAsia="黑体"/>
          <w:b/>
          <w:sz w:val="28"/>
        </w:rPr>
        <w:t>20</w:t>
      </w:r>
      <w:r>
        <w:rPr>
          <w:rFonts w:ascii="黑体" w:hAnsi="黑体" w:eastAsia="黑体"/>
          <w:b/>
          <w:sz w:val="28"/>
        </w:rPr>
        <w:t>-20</w:t>
      </w:r>
      <w:r>
        <w:rPr>
          <w:rFonts w:hint="eastAsia" w:ascii="黑体" w:hAnsi="黑体" w:eastAsia="黑体"/>
          <w:b/>
          <w:sz w:val="28"/>
        </w:rPr>
        <w:t>21秋冬学期浙江大学国际组织精英人才培养计划</w:t>
      </w:r>
    </w:p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国际组织与国际发展选课指南</w:t>
      </w:r>
    </w:p>
    <w:p>
      <w:pPr>
        <w:jc w:val="left"/>
        <w:rPr>
          <w:rFonts w:ascii="仿宋" w:hAnsi="仿宋" w:eastAsia="仿宋"/>
          <w:b/>
          <w:sz w:val="22"/>
        </w:rPr>
      </w:pPr>
    </w:p>
    <w:p>
      <w:pPr>
        <w:jc w:val="left"/>
        <w:rPr>
          <w:rFonts w:ascii="仿宋" w:hAnsi="仿宋" w:eastAsia="仿宋"/>
          <w:b/>
          <w:sz w:val="22"/>
        </w:rPr>
      </w:pPr>
    </w:p>
    <w:p>
      <w:pPr>
        <w:jc w:val="left"/>
        <w:rPr>
          <w:rFonts w:ascii="仿宋" w:hAnsi="仿宋" w:eastAsia="仿宋"/>
          <w:b/>
          <w:sz w:val="22"/>
        </w:rPr>
      </w:pPr>
    </w:p>
    <w:p>
      <w:pPr>
        <w:spacing w:line="360" w:lineRule="auto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一、2</w:t>
      </w:r>
      <w:r>
        <w:rPr>
          <w:rFonts w:ascii="仿宋" w:hAnsi="仿宋" w:eastAsia="仿宋"/>
          <w:b/>
          <w:sz w:val="24"/>
          <w:szCs w:val="24"/>
        </w:rPr>
        <w:t>0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b/>
          <w:sz w:val="24"/>
          <w:szCs w:val="24"/>
        </w:rPr>
        <w:t>级荣誉班课程列表</w:t>
      </w:r>
    </w:p>
    <w:tbl>
      <w:tblPr>
        <w:tblStyle w:val="5"/>
        <w:tblW w:w="867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909"/>
        <w:gridCol w:w="709"/>
        <w:gridCol w:w="708"/>
        <w:gridCol w:w="156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课程代码</w:t>
            </w:r>
          </w:p>
        </w:tc>
        <w:tc>
          <w:tcPr>
            <w:tcW w:w="29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学分</w:t>
            </w:r>
          </w:p>
        </w:tc>
        <w:tc>
          <w:tcPr>
            <w:tcW w:w="70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学期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上课时间</w:t>
            </w:r>
          </w:p>
        </w:tc>
        <w:tc>
          <w:tcPr>
            <w:tcW w:w="144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05127380</w:t>
            </w:r>
          </w:p>
        </w:tc>
        <w:tc>
          <w:tcPr>
            <w:tcW w:w="29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中西文化交流史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秋冬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周四第7,8节</w:t>
            </w:r>
          </w:p>
        </w:tc>
        <w:tc>
          <w:tcPr>
            <w:tcW w:w="14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杨革新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05127520</w:t>
            </w:r>
          </w:p>
        </w:tc>
        <w:tc>
          <w:tcPr>
            <w:tcW w:w="29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国际事务与中国实践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秋冬</w:t>
            </w:r>
          </w:p>
        </w:tc>
        <w:tc>
          <w:tcPr>
            <w:tcW w:w="156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周六第9-10节</w:t>
            </w:r>
          </w:p>
        </w:tc>
        <w:tc>
          <w:tcPr>
            <w:tcW w:w="1444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特别提示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</w:p>
    <w:p>
      <w:pPr>
        <w:tabs>
          <w:tab w:val="left" w:pos="1416"/>
        </w:tabs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1.请仔细阅读教务网发布的选课通知及信息更新，包括各轮选退限制，教师变动等，一切相关信息以教务网为准。</w:t>
      </w:r>
    </w:p>
    <w:p>
      <w:pPr>
        <w:tabs>
          <w:tab w:val="left" w:pos="1416"/>
        </w:tabs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.按照选课规定，学生应先选课、后上课，最后参加考核。先选课、后上课的规定既包括理论课，也包括实习、实践教学、毕业论文（设计）等其他各教学环节。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未按规定时间选课而自行去上课并参加考核者，成绩无效。</w:t>
      </w:r>
    </w:p>
    <w:p>
      <w:pPr>
        <w:tabs>
          <w:tab w:val="left" w:pos="1416"/>
        </w:tabs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/>
          <w:sz w:val="24"/>
          <w:szCs w:val="24"/>
        </w:rPr>
        <w:t>若无特殊情况请尽可能按照本指南选课。</w:t>
      </w:r>
    </w:p>
    <w:p/>
    <w:sectPr>
      <w:headerReference r:id="rId3" w:type="default"/>
      <w:footerReference r:id="rId4" w:type="default"/>
      <w:pgSz w:w="11906" w:h="16838"/>
      <w:pgMar w:top="2410" w:right="1800" w:bottom="1440" w:left="1800" w:header="99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Garamond Pro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浙江大学国际组织精英人才培养计划</w:t>
    </w:r>
  </w:p>
  <w:p>
    <w:pPr>
      <w:pStyle w:val="2"/>
      <w:jc w:val="right"/>
    </w:pP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b/>
        <w:bCs/>
        <w:lang w:val="zh-CN"/>
      </w:rPr>
      <w:t>3</w:t>
    </w:r>
    <w:r>
      <w:rPr>
        <w:b/>
        <w:bCs/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790575" cy="793115"/>
          <wp:effectExtent l="0" t="0" r="9525" b="6985"/>
          <wp:wrapNone/>
          <wp:docPr id="17" name="图片 17" descr="C:\Users\iMac\AppData\Local\Microsoft\Windows\INetCache\Content.Word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C:\Users\iMac\AppData\Local\Microsoft\Windows\INetCache\Content.Word\logo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7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0"/>
      </w:pBdr>
      <w:spacing w:line="360" w:lineRule="auto"/>
      <w:ind w:firstLine="480" w:firstLineChars="800"/>
      <w:jc w:val="left"/>
      <w:rPr>
        <w:sz w:val="6"/>
      </w:rPr>
    </w:pPr>
  </w:p>
  <w:p>
    <w:pPr>
      <w:pStyle w:val="3"/>
      <w:pBdr>
        <w:bottom w:val="none" w:color="auto" w:sz="0" w:space="0"/>
      </w:pBdr>
      <w:spacing w:line="360" w:lineRule="auto"/>
      <w:ind w:firstLine="1400" w:firstLineChars="700"/>
      <w:jc w:val="left"/>
      <w:rPr>
        <w:rFonts w:ascii="华文中宋" w:hAnsi="华文中宋" w:eastAsia="华文中宋"/>
        <w:sz w:val="20"/>
      </w:rPr>
    </w:pPr>
    <w:r>
      <w:rPr>
        <w:rFonts w:hint="eastAsia" w:ascii="华文中宋" w:hAnsi="华文中宋" w:eastAsia="华文中宋"/>
        <w:sz w:val="20"/>
      </w:rPr>
      <w:t>浙江大学国际组织精英人才培养计划</w:t>
    </w:r>
  </w:p>
  <w:p>
    <w:pPr>
      <w:pStyle w:val="3"/>
      <w:pBdr>
        <w:bottom w:val="none" w:color="auto" w:sz="0" w:space="0"/>
      </w:pBdr>
      <w:spacing w:line="360" w:lineRule="auto"/>
      <w:ind w:firstLine="1416" w:firstLineChars="787"/>
      <w:jc w:val="left"/>
      <w:rPr>
        <w:rFonts w:ascii="Adobe Garamond Pro" w:hAnsi="Adobe Garamond Pro"/>
      </w:rPr>
    </w:pPr>
    <w:r>
      <w:rPr>
        <w:rFonts w:ascii="Adobe Garamond Pro" w:hAnsi="Adobe Garamond Pro"/>
      </w:rPr>
      <w:t>Global Engagement Pr</w:t>
    </w:r>
    <w:r>
      <w:rPr>
        <w:rFonts w:hint="eastAsia" w:ascii="Adobe Garamond Pro" w:hAnsi="Adobe Garamond Pro"/>
      </w:rPr>
      <w:t>ogram of Zhejiang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F6468"/>
    <w:rsid w:val="5A4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2020-09-12T05:48:00Z</dcterms:created>
  <dc:creator>立影</dc:creator>
  <cp:lastModifiedBy>立影</cp:lastModifiedBy>
  <dcterms:modified xsi:type="dcterms:W3CDTF">2020-09-12T06:03:11Z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