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b/>
          <w:sz w:val="32"/>
        </w:rPr>
      </w:pPr>
      <w:r>
        <w:rPr>
          <w:rFonts w:hint="eastAsia"/>
          <w:b/>
          <w:sz w:val="32"/>
        </w:rPr>
        <w:t>附件：</w:t>
      </w:r>
    </w:p>
    <w:p>
      <w:pPr>
        <w:spacing w:line="440" w:lineRule="exact"/>
        <w:jc w:val="center"/>
        <w:rPr>
          <w:rStyle w:val="6"/>
          <w:rFonts w:hint="eastAsia"/>
          <w:color w:val="auto"/>
          <w:sz w:val="36"/>
        </w:rPr>
      </w:pPr>
      <w:r>
        <w:rPr>
          <w:rStyle w:val="6"/>
          <w:rFonts w:hint="eastAsia"/>
          <w:color w:val="auto"/>
          <w:sz w:val="36"/>
        </w:rPr>
        <w:t>外国语言文化与国际交流学院</w:t>
      </w:r>
    </w:p>
    <w:p>
      <w:pPr>
        <w:spacing w:line="440" w:lineRule="exact"/>
        <w:jc w:val="center"/>
        <w:rPr>
          <w:b/>
          <w:sz w:val="36"/>
        </w:rPr>
      </w:pPr>
      <w:r>
        <w:rPr>
          <w:rFonts w:hint="eastAsia"/>
          <w:b/>
          <w:sz w:val="36"/>
        </w:rPr>
        <w:t>研究生综合测</w:t>
      </w:r>
      <w:r>
        <w:rPr>
          <w:rFonts w:hint="eastAsia" w:eastAsia="黑体"/>
          <w:b/>
          <w:sz w:val="36"/>
        </w:rPr>
        <w:t>评量化方案</w:t>
      </w:r>
    </w:p>
    <w:p>
      <w:pPr>
        <w:spacing w:line="440" w:lineRule="exac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一、硕士研究生量化方案</w:t>
      </w:r>
    </w:p>
    <w:p>
      <w:pPr>
        <w:spacing w:line="440" w:lineRule="exact"/>
        <w:ind w:firstLine="420" w:firstLineChars="200"/>
      </w:pPr>
      <w:r>
        <w:rPr>
          <w:rFonts w:hint="eastAsia"/>
        </w:rPr>
        <w:t>量化指标满分为</w:t>
      </w:r>
      <w:r>
        <w:t>100</w:t>
      </w:r>
      <w:r>
        <w:rPr>
          <w:rFonts w:hint="eastAsia"/>
        </w:rPr>
        <w:t>分，其中学习成绩占38</w:t>
      </w:r>
      <w:r>
        <w:t>%</w:t>
      </w:r>
      <w:r>
        <w:rPr>
          <w:rFonts w:hint="eastAsia"/>
        </w:rPr>
        <w:t>，科研成果占38</w:t>
      </w:r>
      <w:r>
        <w:t>%</w:t>
      </w:r>
      <w:r>
        <w:rPr>
          <w:rFonts w:hint="eastAsia"/>
        </w:rPr>
        <w:t>（该学年的成果有效），社会工作占24</w:t>
      </w:r>
      <w:r>
        <w:t>%</w:t>
      </w:r>
      <w:r>
        <w:rPr>
          <w:rFonts w:hint="eastAsia"/>
        </w:rPr>
        <w:t>。学习成绩计专业学位课成绩。参与评奖者若积分相近，科研成果突出者（如有CSSCI刊物以上论文发表）、担负社会工作者优先考虑。赋分情况如下：</w:t>
      </w:r>
    </w:p>
    <w:tbl>
      <w:tblPr>
        <w:tblStyle w:val="5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080"/>
        <w:gridCol w:w="4320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</w:pPr>
            <w:r>
              <w:rPr>
                <w:rFonts w:hint="eastAsia"/>
              </w:rPr>
              <w:t>序号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</w:pPr>
            <w:r>
              <w:rPr>
                <w:rFonts w:hint="eastAsia"/>
              </w:rPr>
              <w:t>内容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</w:pPr>
            <w:r>
              <w:rPr>
                <w:rFonts w:hint="eastAsia"/>
              </w:rPr>
              <w:t>分类描述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</w:pPr>
            <w:r>
              <w:rPr>
                <w:rFonts w:hint="eastAsia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</w:pPr>
            <w: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</w:pPr>
            <w:r>
              <w:rPr>
                <w:rFonts w:hint="eastAsia"/>
              </w:rPr>
              <w:t>教学（38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</w:pPr>
            <w:r>
              <w:t>1</w:t>
            </w:r>
            <w:r>
              <w:rPr>
                <w:rFonts w:hint="eastAsia"/>
              </w:rPr>
              <w:t>．成绩全班第一名</w:t>
            </w:r>
          </w:p>
          <w:p>
            <w:pPr>
              <w:spacing w:line="440" w:lineRule="exact"/>
            </w:pPr>
            <w:r>
              <w:t>2</w:t>
            </w:r>
            <w:r>
              <w:rPr>
                <w:rFonts w:hint="eastAsia"/>
              </w:rPr>
              <w:t>．成绩全班前</w:t>
            </w:r>
            <w:r>
              <w:t xml:space="preserve">10% </w:t>
            </w:r>
          </w:p>
          <w:p>
            <w:pPr>
              <w:spacing w:line="440" w:lineRule="exact"/>
            </w:pPr>
            <w:r>
              <w:t>3</w:t>
            </w:r>
            <w:r>
              <w:rPr>
                <w:rFonts w:hint="eastAsia"/>
              </w:rPr>
              <w:t>．成绩全班前</w:t>
            </w:r>
            <w:r>
              <w:t>20%</w:t>
            </w:r>
          </w:p>
          <w:p>
            <w:pPr>
              <w:spacing w:line="440" w:lineRule="exact"/>
            </w:pPr>
            <w:r>
              <w:t>4</w:t>
            </w:r>
            <w:r>
              <w:rPr>
                <w:rFonts w:hint="eastAsia"/>
              </w:rPr>
              <w:t>．其他名次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</w:pPr>
            <w:r>
              <w:rPr>
                <w:rFonts w:hint="eastAsia"/>
              </w:rPr>
              <w:t>38分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>分差</w:t>
            </w:r>
            <w:r>
              <w:t>3</w:t>
            </w:r>
            <w:r>
              <w:rPr>
                <w:rFonts w:hint="eastAsia"/>
              </w:rPr>
              <w:t>分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>分差</w:t>
            </w:r>
            <w:r>
              <w:t>2</w:t>
            </w:r>
            <w:r>
              <w:rPr>
                <w:rFonts w:hint="eastAsia"/>
              </w:rPr>
              <w:t>分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>分差</w:t>
            </w:r>
            <w:r>
              <w:t>1</w:t>
            </w:r>
            <w:r>
              <w:rPr>
                <w:rFonts w:hint="eastAsia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</w:pPr>
            <w:r>
              <w:t>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</w:pPr>
            <w:r>
              <w:rPr>
                <w:rFonts w:hint="eastAsia"/>
              </w:rPr>
              <w:t>科研（38</w:t>
            </w:r>
            <w:r>
              <w:t>%</w:t>
            </w:r>
            <w:r>
              <w:rPr>
                <w:rFonts w:hint="eastAsia"/>
              </w:rPr>
              <w:t>）</w:t>
            </w:r>
          </w:p>
          <w:p>
            <w:pPr>
              <w:spacing w:line="440" w:lineRule="exact"/>
            </w:pP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spacing w:line="440" w:lineRule="exact"/>
            </w:pPr>
            <w:r>
              <w:rPr>
                <w:rFonts w:hint="eastAsia"/>
              </w:rPr>
              <w:t>一级刊物以上学术论文</w:t>
            </w:r>
          </w:p>
          <w:p>
            <w:pPr>
              <w:numPr>
                <w:ilvl w:val="0"/>
                <w:numId w:val="1"/>
              </w:numPr>
              <w:spacing w:line="440" w:lineRule="exact"/>
            </w:pPr>
            <w:r>
              <w:rPr>
                <w:rFonts w:hint="eastAsia"/>
                <w:color w:val="FF0000"/>
              </w:rPr>
              <w:t>EI、CPCI、</w:t>
            </w:r>
            <w:r>
              <w:rPr>
                <w:rFonts w:hint="eastAsia"/>
              </w:rPr>
              <w:t>CSSCI刊物学术论文</w:t>
            </w:r>
          </w:p>
          <w:p>
            <w:pPr>
              <w:numPr>
                <w:ilvl w:val="0"/>
                <w:numId w:val="1"/>
              </w:numPr>
              <w:spacing w:line="440" w:lineRule="exact"/>
            </w:pPr>
            <w:r>
              <w:rPr>
                <w:rFonts w:hint="eastAsia"/>
              </w:rPr>
              <w:t>普通大学学报学术论文</w:t>
            </w:r>
          </w:p>
          <w:p>
            <w:pPr>
              <w:numPr>
                <w:ilvl w:val="0"/>
                <w:numId w:val="1"/>
              </w:numPr>
              <w:spacing w:line="440" w:lineRule="exact"/>
            </w:pPr>
            <w:r>
              <w:rPr>
                <w:rFonts w:hint="eastAsia"/>
              </w:rPr>
              <w:t>一般刊物文章</w:t>
            </w:r>
          </w:p>
          <w:p>
            <w:pPr>
              <w:numPr>
                <w:ilvl w:val="0"/>
                <w:numId w:val="1"/>
              </w:numPr>
              <w:spacing w:line="440" w:lineRule="exact"/>
            </w:pPr>
            <w:r>
              <w:rPr>
                <w:rFonts w:hint="eastAsia"/>
              </w:rPr>
              <w:t>参与各类专著</w:t>
            </w:r>
            <w:r>
              <w:t>/</w:t>
            </w:r>
            <w:r>
              <w:rPr>
                <w:rFonts w:hint="eastAsia"/>
              </w:rPr>
              <w:t>译著撰写（超过</w:t>
            </w:r>
            <w:r>
              <w:t>2</w:t>
            </w:r>
            <w:r>
              <w:rPr>
                <w:rFonts w:hint="eastAsia"/>
              </w:rPr>
              <w:t>万汉字</w:t>
            </w:r>
            <w:r>
              <w:t>/5</w:t>
            </w:r>
            <w:r>
              <w:rPr>
                <w:rFonts w:hint="eastAsia"/>
              </w:rPr>
              <w:t>千至</w:t>
            </w:r>
            <w:r>
              <w:t>2</w:t>
            </w:r>
            <w:r>
              <w:rPr>
                <w:rFonts w:hint="eastAsia"/>
              </w:rPr>
              <w:t>万汉字）</w:t>
            </w:r>
          </w:p>
          <w:p>
            <w:pPr>
              <w:numPr>
                <w:ilvl w:val="0"/>
                <w:numId w:val="1"/>
              </w:numPr>
              <w:spacing w:line="440" w:lineRule="exact"/>
            </w:pPr>
            <w:r>
              <w:rPr>
                <w:rFonts w:hint="eastAsia"/>
              </w:rPr>
              <w:t>参与教材编写（全国</w:t>
            </w:r>
            <w:r>
              <w:t>/</w:t>
            </w:r>
            <w:r>
              <w:rPr>
                <w:rFonts w:hint="eastAsia"/>
              </w:rPr>
              <w:t>省</w:t>
            </w:r>
            <w:r>
              <w:t>/</w:t>
            </w:r>
            <w:r>
              <w:rPr>
                <w:rFonts w:hint="eastAsia"/>
              </w:rPr>
              <w:t>一般，同一等级总工作量必须</w:t>
            </w:r>
            <w:r>
              <w:t>5</w:t>
            </w:r>
            <w:r>
              <w:rPr>
                <w:rFonts w:hint="eastAsia"/>
              </w:rPr>
              <w:t>万汉字以上）</w:t>
            </w:r>
          </w:p>
          <w:p>
            <w:pPr>
              <w:numPr>
                <w:ilvl w:val="0"/>
                <w:numId w:val="1"/>
              </w:numPr>
              <w:spacing w:line="440" w:lineRule="exact"/>
            </w:pPr>
            <w:r>
              <w:rPr>
                <w:rFonts w:hint="eastAsia"/>
              </w:rPr>
              <w:t>获省市级以上奖项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</w:pPr>
            <w:r>
              <w:rPr>
                <w:rFonts w:hint="eastAsia"/>
              </w:rPr>
              <w:t>38分</w:t>
            </w:r>
            <w:r>
              <w:t>/1</w:t>
            </w:r>
            <w:r>
              <w:rPr>
                <w:rFonts w:hint="eastAsia"/>
              </w:rPr>
              <w:t>篇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>28分</w:t>
            </w:r>
            <w:r>
              <w:t>/1</w:t>
            </w:r>
            <w:r>
              <w:rPr>
                <w:rFonts w:hint="eastAsia"/>
              </w:rPr>
              <w:t>篇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>8分</w:t>
            </w:r>
            <w:r>
              <w:t>/1</w:t>
            </w:r>
            <w:r>
              <w:rPr>
                <w:rFonts w:hint="eastAsia"/>
              </w:rPr>
              <w:t>篇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>6分</w:t>
            </w:r>
            <w:r>
              <w:t>/1</w:t>
            </w:r>
            <w:r>
              <w:rPr>
                <w:rFonts w:hint="eastAsia"/>
              </w:rPr>
              <w:t>篇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>8</w:t>
            </w:r>
            <w:r>
              <w:t>/</w:t>
            </w:r>
            <w:r>
              <w:rPr>
                <w:rFonts w:hint="eastAsia"/>
              </w:rPr>
              <w:t>4分</w:t>
            </w:r>
          </w:p>
          <w:p>
            <w:pPr>
              <w:spacing w:line="440" w:lineRule="exact"/>
            </w:pPr>
          </w:p>
          <w:p>
            <w:pPr>
              <w:spacing w:line="440" w:lineRule="exact"/>
            </w:pPr>
            <w:r>
              <w:rPr>
                <w:rFonts w:hint="eastAsia"/>
              </w:rPr>
              <w:t>6</w:t>
            </w:r>
            <w:r>
              <w:t>/</w:t>
            </w:r>
            <w:r>
              <w:rPr>
                <w:rFonts w:hint="eastAsia"/>
              </w:rPr>
              <w:t>4</w:t>
            </w:r>
            <w:r>
              <w:t>/</w:t>
            </w:r>
            <w:r>
              <w:rPr>
                <w:rFonts w:hint="eastAsia"/>
              </w:rPr>
              <w:t>2分</w:t>
            </w:r>
          </w:p>
          <w:p>
            <w:pPr>
              <w:spacing w:line="440" w:lineRule="exact"/>
            </w:pPr>
          </w:p>
          <w:p>
            <w:pPr>
              <w:spacing w:line="440" w:lineRule="exact"/>
            </w:pPr>
            <w:r>
              <w:rPr>
                <w:rFonts w:hint="eastAsia"/>
              </w:rPr>
              <w:t>根据名次酌情加分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>（总分不超过38分）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</w:pPr>
            <w:r>
              <w:t>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</w:pPr>
            <w:r>
              <w:rPr>
                <w:rFonts w:hint="eastAsia"/>
              </w:rPr>
              <w:t>其它（24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2"/>
              </w:numPr>
              <w:spacing w:line="440" w:lineRule="exact"/>
            </w:pPr>
            <w:r>
              <w:rPr>
                <w:rFonts w:hint="eastAsia"/>
              </w:rPr>
              <w:t>担任研究生干部（仅限校院研究生会、团总支、班委、党支委成员）</w:t>
            </w:r>
          </w:p>
          <w:p>
            <w:pPr>
              <w:numPr>
                <w:ilvl w:val="0"/>
                <w:numId w:val="2"/>
              </w:numPr>
              <w:spacing w:line="440" w:lineRule="exact"/>
            </w:pPr>
            <w:r>
              <w:rPr>
                <w:rFonts w:hint="eastAsia"/>
              </w:rPr>
              <w:t>参加学校、学院竞赛活动获奖（分等级）</w:t>
            </w:r>
          </w:p>
          <w:p>
            <w:pPr>
              <w:numPr>
                <w:ilvl w:val="0"/>
                <w:numId w:val="2"/>
              </w:numPr>
              <w:spacing w:line="440" w:lineRule="exact"/>
              <w:rPr>
                <w:rFonts w:hint="eastAsia"/>
              </w:rPr>
            </w:pPr>
            <w:r>
              <w:rPr>
                <w:rFonts w:hint="eastAsia"/>
              </w:rPr>
              <w:t>参与助教助管工作和社会实践（效果优良）</w:t>
            </w:r>
          </w:p>
          <w:p>
            <w:pPr>
              <w:numPr>
                <w:ilvl w:val="0"/>
                <w:numId w:val="2"/>
              </w:numPr>
              <w:spacing w:line="440" w:lineRule="exact"/>
            </w:pPr>
            <w:r>
              <w:rPr>
                <w:rFonts w:hint="eastAsia"/>
              </w:rPr>
              <w:t>参加班、党、团集体活动、年级会议情况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</w:pPr>
          </w:p>
          <w:p>
            <w:pPr>
              <w:spacing w:line="440" w:lineRule="exact"/>
            </w:pPr>
            <w:r>
              <w:rPr>
                <w:rFonts w:hint="eastAsia"/>
              </w:rPr>
              <w:t>0</w:t>
            </w:r>
            <w:r>
              <w:t>-</w:t>
            </w:r>
            <w:r>
              <w:rPr>
                <w:rFonts w:hint="eastAsia"/>
              </w:rPr>
              <w:t>10分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>1</w:t>
            </w:r>
            <w:r>
              <w:t>-6</w:t>
            </w:r>
            <w:r>
              <w:rPr>
                <w:rFonts w:hint="eastAsia"/>
              </w:rPr>
              <w:t>分</w:t>
            </w:r>
          </w:p>
          <w:p>
            <w:pPr>
              <w:spacing w:line="440" w:lineRule="exact"/>
              <w:rPr>
                <w:rFonts w:hint="eastAsia"/>
              </w:rPr>
            </w:pPr>
          </w:p>
          <w:p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</w:rPr>
              <w:t>0-6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>2-4分</w:t>
            </w:r>
          </w:p>
        </w:tc>
      </w:tr>
    </w:tbl>
    <w:p>
      <w:pPr>
        <w:pStyle w:val="3"/>
        <w:spacing w:before="0" w:beforeAutospacing="0" w:after="0" w:afterAutospacing="0"/>
        <w:ind w:firstLine="0"/>
        <w:rPr>
          <w:rFonts w:hint="eastAsia" w:ascii="Times New Roman" w:hAnsi="Times New Roman" w:eastAsia="宋体" w:cs="Times New Roman"/>
          <w:kern w:val="2"/>
          <w:sz w:val="21"/>
          <w:szCs w:val="24"/>
        </w:rPr>
      </w:pPr>
    </w:p>
    <w:p>
      <w:pPr>
        <w:pStyle w:val="3"/>
        <w:spacing w:before="0" w:beforeAutospacing="0" w:after="0" w:afterAutospacing="0"/>
        <w:ind w:firstLine="0"/>
        <w:rPr>
          <w:rFonts w:hint="eastAsia" w:ascii="Times New Roman" w:hAnsi="Times New Roman" w:eastAsia="宋体" w:cs="Times New Roman"/>
          <w:kern w:val="2"/>
          <w:sz w:val="21"/>
          <w:szCs w:val="24"/>
        </w:rPr>
      </w:pPr>
    </w:p>
    <w:p>
      <w:pPr>
        <w:pStyle w:val="3"/>
        <w:spacing w:before="0" w:beforeAutospacing="0" w:after="0" w:afterAutospacing="0"/>
        <w:ind w:firstLine="0"/>
        <w:rPr>
          <w:rFonts w:hint="eastAsia" w:ascii="Times New Roman" w:hAnsi="Times New Roman" w:eastAsia="宋体" w:cs="Times New Roman"/>
          <w:kern w:val="2"/>
          <w:sz w:val="21"/>
          <w:szCs w:val="24"/>
        </w:rPr>
      </w:pPr>
    </w:p>
    <w:p>
      <w:pPr>
        <w:pStyle w:val="3"/>
        <w:spacing w:before="0" w:beforeAutospacing="0" w:after="0" w:afterAutospacing="0"/>
        <w:ind w:firstLine="0"/>
        <w:rPr>
          <w:rFonts w:hint="eastAsia" w:ascii="Times New Roman" w:hAnsi="Times New Roman" w:eastAsia="宋体" w:cs="Times New Roman"/>
          <w:b/>
          <w:kern w:val="2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kern w:val="2"/>
          <w:sz w:val="28"/>
          <w:szCs w:val="28"/>
        </w:rPr>
        <w:t>二、博士研究生量化方案：</w:t>
      </w:r>
    </w:p>
    <w:tbl>
      <w:tblPr>
        <w:tblStyle w:val="5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260"/>
        <w:gridCol w:w="720"/>
        <w:gridCol w:w="2340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620" w:type="dxa"/>
            <w:vAlign w:val="center"/>
          </w:tcPr>
          <w:p>
            <w:pPr>
              <w:pStyle w:val="2"/>
              <w:spacing w:after="0"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考核项目</w:t>
            </w:r>
          </w:p>
        </w:tc>
        <w:tc>
          <w:tcPr>
            <w:tcW w:w="4320" w:type="dxa"/>
            <w:gridSpan w:val="3"/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考核内容</w:t>
            </w:r>
          </w:p>
        </w:tc>
        <w:tc>
          <w:tcPr>
            <w:tcW w:w="3060" w:type="dxa"/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赋分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</w:trPr>
        <w:tc>
          <w:tcPr>
            <w:tcW w:w="1620" w:type="dxa"/>
            <w:vAlign w:val="center"/>
          </w:tcPr>
          <w:p>
            <w:pPr>
              <w:pStyle w:val="2"/>
              <w:spacing w:after="0" w:line="320" w:lineRule="exact"/>
              <w:ind w:left="0" w:left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课程成绩（仅限第一学年）</w:t>
            </w:r>
          </w:p>
        </w:tc>
        <w:tc>
          <w:tcPr>
            <w:tcW w:w="4320" w:type="dxa"/>
            <w:gridSpan w:val="3"/>
            <w:vAlign w:val="center"/>
          </w:tcPr>
          <w:p>
            <w:pPr>
              <w:pStyle w:val="2"/>
              <w:spacing w:line="500" w:lineRule="exact"/>
              <w:ind w:left="0" w:left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专业学位课、专业选修课成绩（至少三门课）</w:t>
            </w:r>
          </w:p>
        </w:tc>
        <w:tc>
          <w:tcPr>
            <w:tcW w:w="3060" w:type="dxa"/>
            <w:vAlign w:val="center"/>
          </w:tcPr>
          <w:p>
            <w:pPr>
              <w:pStyle w:val="2"/>
              <w:spacing w:line="500" w:lineRule="exact"/>
              <w:ind w:left="0" w:left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取平均分，再乘30%（占总考评成绩的30%）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620" w:type="dxa"/>
            <w:vMerge w:val="restart"/>
            <w:vAlign w:val="center"/>
          </w:tcPr>
          <w:p>
            <w:pPr>
              <w:pStyle w:val="2"/>
              <w:spacing w:line="320" w:lineRule="exact"/>
              <w:ind w:left="0" w:left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科学研究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pStyle w:val="2"/>
              <w:spacing w:line="320" w:lineRule="exact"/>
              <w:ind w:left="0" w:left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科研项目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pStyle w:val="2"/>
              <w:tabs>
                <w:tab w:val="left" w:pos="432"/>
              </w:tabs>
              <w:spacing w:after="0" w:line="500" w:lineRule="exact"/>
              <w:ind w:left="200" w:leftChars="0" w:right="71" w:rightChars="34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国家级（排名前三名）</w:t>
            </w:r>
          </w:p>
        </w:tc>
        <w:tc>
          <w:tcPr>
            <w:tcW w:w="3060" w:type="dxa"/>
            <w:vAlign w:val="center"/>
          </w:tcPr>
          <w:p>
            <w:pPr>
              <w:pStyle w:val="2"/>
              <w:spacing w:after="0" w:line="500" w:lineRule="exact"/>
              <w:ind w:left="0" w:left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主持20分/项，主参10分/项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620" w:type="dxa"/>
            <w:vMerge w:val="continue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060" w:type="dxa"/>
            <w:gridSpan w:val="2"/>
            <w:vAlign w:val="center"/>
          </w:tcPr>
          <w:p>
            <w:pPr>
              <w:pStyle w:val="2"/>
              <w:spacing w:after="0" w:line="500" w:lineRule="exact"/>
              <w:ind w:left="200" w:left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省部级（排名前三名）</w:t>
            </w:r>
          </w:p>
        </w:tc>
        <w:tc>
          <w:tcPr>
            <w:tcW w:w="3060" w:type="dxa"/>
            <w:vAlign w:val="center"/>
          </w:tcPr>
          <w:p>
            <w:pPr>
              <w:pStyle w:val="2"/>
              <w:spacing w:after="0" w:line="500" w:lineRule="exact"/>
              <w:ind w:left="0" w:left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主持15分/项，主参8分/项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1620" w:type="dxa"/>
            <w:vMerge w:val="continue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060" w:type="dxa"/>
            <w:gridSpan w:val="2"/>
            <w:vAlign w:val="center"/>
          </w:tcPr>
          <w:p>
            <w:pPr>
              <w:pStyle w:val="2"/>
              <w:spacing w:after="0" w:line="320" w:lineRule="exact"/>
              <w:ind w:left="200" w:left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厅局级（主持。含浙江省研究生创新科研项目）</w:t>
            </w:r>
          </w:p>
        </w:tc>
        <w:tc>
          <w:tcPr>
            <w:tcW w:w="3060" w:type="dxa"/>
            <w:vAlign w:val="center"/>
          </w:tcPr>
          <w:p>
            <w:pPr>
              <w:pStyle w:val="2"/>
              <w:spacing w:after="0" w:line="500" w:lineRule="exact"/>
              <w:ind w:left="0" w:left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8分/项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1620" w:type="dxa"/>
            <w:vMerge w:val="continue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060" w:type="dxa"/>
            <w:gridSpan w:val="2"/>
            <w:vAlign w:val="center"/>
          </w:tcPr>
          <w:p>
            <w:pPr>
              <w:pStyle w:val="2"/>
              <w:spacing w:after="0" w:line="500" w:lineRule="exact"/>
              <w:ind w:left="0" w:leftChars="0" w:firstLine="210" w:firstLine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校内其他（主持）</w:t>
            </w:r>
          </w:p>
        </w:tc>
        <w:tc>
          <w:tcPr>
            <w:tcW w:w="3060" w:type="dxa"/>
            <w:vAlign w:val="center"/>
          </w:tcPr>
          <w:p>
            <w:pPr>
              <w:pStyle w:val="2"/>
              <w:spacing w:after="0" w:line="500" w:lineRule="exact"/>
              <w:ind w:left="0" w:left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2-4分/项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" w:hRule="atLeast"/>
        </w:trPr>
        <w:tc>
          <w:tcPr>
            <w:tcW w:w="1620" w:type="dxa"/>
            <w:vMerge w:val="continue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pStyle w:val="2"/>
              <w:spacing w:after="0" w:line="320" w:lineRule="exact"/>
              <w:ind w:left="0" w:left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科研成果（书评赋分减半，增刊论文等同于一般期刊论文）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pStyle w:val="2"/>
              <w:spacing w:after="0" w:line="320" w:lineRule="exact"/>
              <w:ind w:left="200" w:left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SSCI、A&amp;HCI、SCI、国内权威期刊论文</w:t>
            </w:r>
          </w:p>
        </w:tc>
        <w:tc>
          <w:tcPr>
            <w:tcW w:w="3060" w:type="dxa"/>
            <w:vAlign w:val="center"/>
          </w:tcPr>
          <w:p>
            <w:pPr>
              <w:pStyle w:val="2"/>
              <w:spacing w:after="0" w:line="320" w:lineRule="exact"/>
              <w:ind w:left="0" w:left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30分/篇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620" w:type="dxa"/>
            <w:vMerge w:val="continue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060" w:type="dxa"/>
            <w:gridSpan w:val="2"/>
            <w:vAlign w:val="center"/>
          </w:tcPr>
          <w:p>
            <w:pPr>
              <w:pStyle w:val="2"/>
              <w:spacing w:after="0" w:line="320" w:lineRule="exact"/>
              <w:ind w:left="200" w:left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一级期刊论文、学术专著（15万字以上）</w:t>
            </w:r>
          </w:p>
        </w:tc>
        <w:tc>
          <w:tcPr>
            <w:tcW w:w="3060" w:type="dxa"/>
            <w:vAlign w:val="center"/>
          </w:tcPr>
          <w:p>
            <w:pPr>
              <w:pStyle w:val="2"/>
              <w:spacing w:after="0" w:line="320" w:lineRule="exact"/>
              <w:ind w:left="0" w:left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20分/篇、部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1620" w:type="dxa"/>
            <w:vMerge w:val="continue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060" w:type="dxa"/>
            <w:gridSpan w:val="2"/>
            <w:vAlign w:val="center"/>
          </w:tcPr>
          <w:p>
            <w:pPr>
              <w:pStyle w:val="2"/>
              <w:spacing w:after="0" w:line="320" w:lineRule="exact"/>
              <w:ind w:left="200" w:left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EI、CPCI、</w:t>
            </w:r>
            <w:r>
              <w:rPr>
                <w:rFonts w:hint="eastAsia" w:ascii="宋体" w:hAnsi="宋体"/>
                <w:szCs w:val="21"/>
              </w:rPr>
              <w:t>其他CSSCI论文，学术译著</w:t>
            </w:r>
            <w:bookmarkStart w:id="0" w:name="OLE_LINK1"/>
            <w:r>
              <w:rPr>
                <w:rFonts w:hint="eastAsia" w:ascii="宋体" w:hAnsi="宋体"/>
                <w:szCs w:val="21"/>
              </w:rPr>
              <w:t>（15万字以上）</w:t>
            </w:r>
            <w:bookmarkEnd w:id="0"/>
          </w:p>
        </w:tc>
        <w:tc>
          <w:tcPr>
            <w:tcW w:w="3060" w:type="dxa"/>
            <w:vAlign w:val="center"/>
          </w:tcPr>
          <w:p>
            <w:pPr>
              <w:pStyle w:val="2"/>
              <w:spacing w:after="0" w:line="320" w:lineRule="exact"/>
              <w:ind w:left="0" w:left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12分/篇，部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1620" w:type="dxa"/>
            <w:vMerge w:val="continue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060" w:type="dxa"/>
            <w:gridSpan w:val="2"/>
            <w:vAlign w:val="center"/>
          </w:tcPr>
          <w:p>
            <w:pPr>
              <w:pStyle w:val="2"/>
              <w:spacing w:after="0" w:line="320" w:lineRule="exact"/>
              <w:ind w:left="200" w:left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一般期刊论文（3000字以上）</w:t>
            </w:r>
          </w:p>
        </w:tc>
        <w:tc>
          <w:tcPr>
            <w:tcW w:w="3060" w:type="dxa"/>
            <w:vAlign w:val="center"/>
          </w:tcPr>
          <w:p>
            <w:pPr>
              <w:pStyle w:val="2"/>
              <w:spacing w:after="0" w:line="320" w:lineRule="exact"/>
              <w:ind w:left="0" w:left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4分/篇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" w:hRule="atLeast"/>
        </w:trPr>
        <w:tc>
          <w:tcPr>
            <w:tcW w:w="1620" w:type="dxa"/>
            <w:vMerge w:val="continue"/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pStyle w:val="2"/>
              <w:spacing w:after="0" w:line="320" w:lineRule="exact"/>
              <w:ind w:left="0" w:left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科研获奖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pStyle w:val="2"/>
              <w:spacing w:after="0" w:line="320" w:lineRule="exact"/>
              <w:ind w:left="200" w:left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国家级（前五名）</w:t>
            </w:r>
          </w:p>
        </w:tc>
        <w:tc>
          <w:tcPr>
            <w:tcW w:w="3060" w:type="dxa"/>
            <w:vAlign w:val="center"/>
          </w:tcPr>
          <w:p>
            <w:pPr>
              <w:pStyle w:val="2"/>
              <w:spacing w:after="0" w:line="320" w:lineRule="exact"/>
              <w:ind w:left="0" w:left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主持50分/项，其他20分/项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" w:hRule="atLeast"/>
        </w:trPr>
        <w:tc>
          <w:tcPr>
            <w:tcW w:w="1620" w:type="dxa"/>
            <w:vMerge w:val="continue"/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pStyle w:val="2"/>
              <w:spacing w:after="0" w:line="320" w:lineRule="exact"/>
              <w:ind w:left="0" w:leftChars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pStyle w:val="2"/>
              <w:spacing w:after="0" w:line="320" w:lineRule="exact"/>
              <w:ind w:left="0" w:left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省部级</w:t>
            </w:r>
          </w:p>
        </w:tc>
        <w:tc>
          <w:tcPr>
            <w:tcW w:w="2340" w:type="dxa"/>
            <w:vAlign w:val="center"/>
          </w:tcPr>
          <w:p>
            <w:pPr>
              <w:pStyle w:val="2"/>
              <w:spacing w:after="0" w:line="320" w:lineRule="exact"/>
              <w:ind w:left="0" w:left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一等奖（前三名）</w:t>
            </w:r>
          </w:p>
        </w:tc>
        <w:tc>
          <w:tcPr>
            <w:tcW w:w="3060" w:type="dxa"/>
            <w:vAlign w:val="center"/>
          </w:tcPr>
          <w:p>
            <w:pPr>
              <w:pStyle w:val="2"/>
              <w:spacing w:after="0" w:line="320" w:lineRule="exact"/>
              <w:ind w:left="0" w:left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主持30分/项，其他10分/项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" w:hRule="atLeast"/>
        </w:trPr>
        <w:tc>
          <w:tcPr>
            <w:tcW w:w="1620" w:type="dxa"/>
            <w:vMerge w:val="continue"/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pStyle w:val="2"/>
              <w:spacing w:after="0" w:line="320" w:lineRule="exact"/>
              <w:ind w:left="200" w:leftChars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pStyle w:val="2"/>
              <w:spacing w:after="0" w:line="320" w:lineRule="exact"/>
              <w:ind w:left="0" w:left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二等奖（前三名）</w:t>
            </w:r>
          </w:p>
        </w:tc>
        <w:tc>
          <w:tcPr>
            <w:tcW w:w="3060" w:type="dxa"/>
            <w:vAlign w:val="center"/>
          </w:tcPr>
          <w:p>
            <w:pPr>
              <w:pStyle w:val="2"/>
              <w:spacing w:after="0" w:line="320" w:lineRule="exact"/>
              <w:ind w:left="0" w:left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主持20分/项，其他8分/项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" w:hRule="atLeast"/>
        </w:trPr>
        <w:tc>
          <w:tcPr>
            <w:tcW w:w="1620" w:type="dxa"/>
            <w:vMerge w:val="continue"/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pStyle w:val="2"/>
              <w:spacing w:after="0" w:line="320" w:lineRule="exact"/>
              <w:ind w:left="200" w:leftChars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pStyle w:val="2"/>
              <w:spacing w:after="0" w:line="320" w:lineRule="exact"/>
              <w:ind w:left="0" w:left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三等奖（前三名）</w:t>
            </w:r>
          </w:p>
        </w:tc>
        <w:tc>
          <w:tcPr>
            <w:tcW w:w="3060" w:type="dxa"/>
            <w:vAlign w:val="center"/>
          </w:tcPr>
          <w:p>
            <w:pPr>
              <w:pStyle w:val="2"/>
              <w:spacing w:after="0" w:line="320" w:lineRule="exact"/>
              <w:ind w:left="0" w:left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主持10分/项，其他5分/项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" w:hRule="atLeast"/>
        </w:trPr>
        <w:tc>
          <w:tcPr>
            <w:tcW w:w="1620" w:type="dxa"/>
            <w:vMerge w:val="continue"/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pStyle w:val="2"/>
              <w:spacing w:after="0" w:line="320" w:lineRule="exact"/>
              <w:ind w:left="200" w:leftChars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pStyle w:val="2"/>
              <w:spacing w:after="0" w:line="320" w:lineRule="exact"/>
              <w:ind w:left="0" w:left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学术新人奖</w:t>
            </w:r>
          </w:p>
        </w:tc>
        <w:tc>
          <w:tcPr>
            <w:tcW w:w="3060" w:type="dxa"/>
            <w:vAlign w:val="center"/>
          </w:tcPr>
          <w:p>
            <w:pPr>
              <w:pStyle w:val="2"/>
              <w:spacing w:after="0" w:line="320" w:lineRule="exact"/>
              <w:ind w:left="0" w:left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10分/项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" w:hRule="atLeast"/>
        </w:trPr>
        <w:tc>
          <w:tcPr>
            <w:tcW w:w="1620" w:type="dxa"/>
            <w:vMerge w:val="continue"/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pStyle w:val="2"/>
              <w:spacing w:after="0" w:line="320" w:lineRule="exact"/>
              <w:ind w:left="0" w:left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厅局级（主持）</w:t>
            </w:r>
          </w:p>
        </w:tc>
        <w:tc>
          <w:tcPr>
            <w:tcW w:w="2340" w:type="dxa"/>
            <w:vAlign w:val="center"/>
          </w:tcPr>
          <w:p>
            <w:pPr>
              <w:pStyle w:val="2"/>
              <w:spacing w:after="0" w:line="320" w:lineRule="exact"/>
              <w:ind w:left="200" w:left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一等奖</w:t>
            </w:r>
          </w:p>
        </w:tc>
        <w:tc>
          <w:tcPr>
            <w:tcW w:w="3060" w:type="dxa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5分/项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" w:hRule="atLeast"/>
        </w:trPr>
        <w:tc>
          <w:tcPr>
            <w:tcW w:w="1620" w:type="dxa"/>
            <w:vMerge w:val="continue"/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pStyle w:val="2"/>
              <w:spacing w:after="0" w:line="320" w:lineRule="exact"/>
              <w:ind w:left="200" w:leftChars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pStyle w:val="2"/>
              <w:spacing w:after="0" w:line="320" w:lineRule="exact"/>
              <w:ind w:left="200" w:left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二等奖</w:t>
            </w:r>
          </w:p>
        </w:tc>
        <w:tc>
          <w:tcPr>
            <w:tcW w:w="3060" w:type="dxa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4分/项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" w:hRule="atLeast"/>
        </w:trPr>
        <w:tc>
          <w:tcPr>
            <w:tcW w:w="1620" w:type="dxa"/>
            <w:vMerge w:val="continue"/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pStyle w:val="2"/>
              <w:spacing w:after="0" w:line="320" w:lineRule="exact"/>
              <w:ind w:left="200" w:leftChars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pStyle w:val="2"/>
              <w:spacing w:after="0" w:line="320" w:lineRule="exact"/>
              <w:ind w:left="200" w:left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三等奖</w:t>
            </w:r>
          </w:p>
        </w:tc>
        <w:tc>
          <w:tcPr>
            <w:tcW w:w="3060" w:type="dxa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3分/项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" w:hRule="atLeast"/>
        </w:trPr>
        <w:tc>
          <w:tcPr>
            <w:tcW w:w="1620" w:type="dxa"/>
            <w:vMerge w:val="continue"/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pStyle w:val="2"/>
              <w:spacing w:after="0" w:line="320" w:lineRule="exact"/>
              <w:ind w:left="0" w:left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学术交流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pStyle w:val="2"/>
              <w:spacing w:after="0" w:line="320" w:lineRule="exact"/>
              <w:ind w:left="0" w:left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国际学术会议上宣读论文（不与发表论文重复）</w:t>
            </w:r>
          </w:p>
        </w:tc>
        <w:tc>
          <w:tcPr>
            <w:tcW w:w="3060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8分/次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" w:hRule="atLeast"/>
        </w:trPr>
        <w:tc>
          <w:tcPr>
            <w:tcW w:w="1620" w:type="dxa"/>
            <w:vMerge w:val="continue"/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060" w:type="dxa"/>
            <w:gridSpan w:val="2"/>
            <w:vAlign w:val="center"/>
          </w:tcPr>
          <w:p>
            <w:pPr>
              <w:pStyle w:val="2"/>
              <w:spacing w:after="0" w:line="320" w:lineRule="exact"/>
              <w:ind w:left="0" w:left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国内学术会议上宣读论文（不与发表论文重复）</w:t>
            </w:r>
          </w:p>
        </w:tc>
        <w:tc>
          <w:tcPr>
            <w:tcW w:w="3060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4分/次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" w:hRule="atLeast"/>
        </w:trPr>
        <w:tc>
          <w:tcPr>
            <w:tcW w:w="1620" w:type="dxa"/>
            <w:vMerge w:val="continue"/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060" w:type="dxa"/>
            <w:gridSpan w:val="2"/>
            <w:vAlign w:val="center"/>
          </w:tcPr>
          <w:p>
            <w:pPr>
              <w:pStyle w:val="2"/>
              <w:spacing w:after="0" w:line="320" w:lineRule="exact"/>
              <w:ind w:left="0" w:left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参加学术讲座</w:t>
            </w:r>
          </w:p>
        </w:tc>
        <w:tc>
          <w:tcPr>
            <w:tcW w:w="3060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0.5分/次，累计不超过5分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" w:hRule="atLeast"/>
        </w:trPr>
        <w:tc>
          <w:tcPr>
            <w:tcW w:w="1620" w:type="dxa"/>
            <w:vMerge w:val="restart"/>
            <w:vAlign w:val="center"/>
          </w:tcPr>
          <w:p>
            <w:pPr>
              <w:pStyle w:val="2"/>
              <w:spacing w:after="0" w:line="320" w:lineRule="exact"/>
              <w:ind w:left="0" w:left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社会工作</w:t>
            </w:r>
          </w:p>
        </w:tc>
        <w:tc>
          <w:tcPr>
            <w:tcW w:w="4320" w:type="dxa"/>
            <w:gridSpan w:val="3"/>
            <w:vAlign w:val="center"/>
          </w:tcPr>
          <w:p>
            <w:pPr>
              <w:spacing w:line="44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担任研究生干部（仅限校院研究生会、团总支、班委、党支委成员）</w:t>
            </w:r>
          </w:p>
        </w:tc>
        <w:tc>
          <w:tcPr>
            <w:tcW w:w="3060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0-10分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" w:hRule="atLeast"/>
        </w:trPr>
        <w:tc>
          <w:tcPr>
            <w:tcW w:w="1620" w:type="dxa"/>
            <w:vMerge w:val="continue"/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320" w:type="dxa"/>
            <w:gridSpan w:val="3"/>
            <w:vAlign w:val="center"/>
          </w:tcPr>
          <w:p>
            <w:pPr>
              <w:spacing w:line="44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参加学校、学院竞赛活动获奖（分等级）</w:t>
            </w:r>
          </w:p>
        </w:tc>
        <w:tc>
          <w:tcPr>
            <w:tcW w:w="3060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1-6分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" w:hRule="atLeast"/>
        </w:trPr>
        <w:tc>
          <w:tcPr>
            <w:tcW w:w="1620" w:type="dxa"/>
            <w:vMerge w:val="continue"/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320" w:type="dxa"/>
            <w:gridSpan w:val="3"/>
            <w:vAlign w:val="center"/>
          </w:tcPr>
          <w:p>
            <w:pPr>
              <w:pStyle w:val="2"/>
              <w:spacing w:after="0" w:line="320" w:lineRule="exact"/>
              <w:ind w:left="0" w:left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参加学校、学院集体活动</w:t>
            </w:r>
          </w:p>
        </w:tc>
        <w:tc>
          <w:tcPr>
            <w:tcW w:w="3060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1-4分</w:t>
            </w:r>
          </w:p>
        </w:tc>
      </w:tr>
    </w:tbl>
    <w:p>
      <w:pPr>
        <w:pStyle w:val="3"/>
        <w:spacing w:before="0" w:beforeAutospacing="0" w:after="0" w:afterAutospacing="0"/>
        <w:ind w:firstLine="0"/>
        <w:rPr>
          <w:rFonts w:hint="eastAsia" w:ascii="Times New Roman" w:hAnsi="Times New Roman" w:eastAsia="宋体" w:cs="Times New Roman"/>
          <w:b/>
          <w:kern w:val="2"/>
          <w:sz w:val="28"/>
          <w:szCs w:val="28"/>
        </w:rPr>
      </w:pPr>
    </w:p>
    <w:p>
      <w:pPr>
        <w:pStyle w:val="3"/>
        <w:spacing w:before="0" w:beforeAutospacing="0" w:after="0" w:afterAutospacing="0"/>
        <w:ind w:firstLine="0"/>
        <w:rPr>
          <w:rFonts w:hint="eastAsia" w:ascii="Times New Roman" w:hAnsi="Times New Roman" w:eastAsia="宋体" w:cs="Times New Roman"/>
          <w:b/>
          <w:kern w:val="2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kern w:val="2"/>
          <w:sz w:val="28"/>
          <w:szCs w:val="28"/>
        </w:rPr>
        <w:t>三、量化方案附注：</w:t>
      </w:r>
    </w:p>
    <w:p>
      <w:pPr>
        <w:pStyle w:val="3"/>
        <w:spacing w:before="0" w:beforeAutospacing="0" w:after="0" w:afterAutospacing="0"/>
        <w:ind w:firstLine="0"/>
        <w:rPr>
          <w:rFonts w:hint="eastAsia" w:ascii="Times New Roman" w:hAnsi="Times New Roman" w:eastAsia="宋体" w:cs="Times New Roman"/>
          <w:kern w:val="2"/>
          <w:sz w:val="21"/>
          <w:szCs w:val="24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</w:rPr>
        <w:t>1、不管是毕业班学生还是非毕业班学生，自2013年起参与评奖评优的学生科研成果必须是正式出版的，</w:t>
      </w:r>
      <w:r>
        <w:rPr>
          <w:rFonts w:hint="eastAsia" w:ascii="Times New Roman" w:hAnsi="Times New Roman" w:eastAsia="宋体" w:cs="Times New Roman"/>
          <w:color w:val="FF0000"/>
          <w:kern w:val="2"/>
          <w:sz w:val="21"/>
          <w:szCs w:val="24"/>
        </w:rPr>
        <w:t>参评科研成果必须是该学年的、未参评的才有效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</w:rPr>
        <w:t>。</w:t>
      </w:r>
    </w:p>
    <w:p>
      <w:pPr>
        <w:pStyle w:val="3"/>
        <w:spacing w:before="0" w:beforeAutospacing="0" w:after="0" w:afterAutospacing="0"/>
        <w:ind w:firstLine="0"/>
        <w:rPr>
          <w:rFonts w:hint="eastAsia" w:ascii="Times New Roman" w:hAnsi="Times New Roman" w:eastAsia="宋体" w:cs="Times New Roman"/>
          <w:kern w:val="2"/>
          <w:sz w:val="21"/>
          <w:szCs w:val="24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</w:rPr>
        <w:t>2、科研成果（包括论文、课题、项目等）署名单位必须为浙江大学。如果学生是第二作者，第一作者必须是导师。学生作为第三作者的学术论文不予计算。参编、参译需有署名，同时需附主编或主译者开具的工作量证明。参编、参译多部著作，计总字数。参与同一等级（全国/省/一般）的教材编写计总字数；不同等级可累计赋分。</w:t>
      </w:r>
    </w:p>
    <w:p>
      <w:pPr>
        <w:pStyle w:val="3"/>
        <w:spacing w:before="0" w:beforeAutospacing="0" w:after="0" w:afterAutospacing="0"/>
        <w:ind w:firstLine="0"/>
        <w:rPr>
          <w:rFonts w:hint="eastAsia" w:ascii="Times New Roman" w:hAnsi="Times New Roman" w:eastAsia="宋体" w:cs="Times New Roman"/>
          <w:kern w:val="2"/>
          <w:sz w:val="21"/>
          <w:szCs w:val="24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</w:rPr>
        <w:t>3、译文不管发表在何种等级的刊物上，均根据字数按译文赋分。</w:t>
      </w:r>
    </w:p>
    <w:p>
      <w:pPr>
        <w:pStyle w:val="3"/>
        <w:spacing w:before="0" w:beforeAutospacing="0" w:after="0" w:afterAutospacing="0"/>
        <w:ind w:firstLine="0"/>
        <w:rPr>
          <w:rFonts w:hint="eastAsia" w:ascii="Times New Roman" w:hAnsi="Times New Roman" w:eastAsia="宋体" w:cs="Times New Roman"/>
          <w:kern w:val="2"/>
          <w:sz w:val="21"/>
          <w:szCs w:val="24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</w:rPr>
        <w:t>4、助教助管工作赋分仅限于硕士一年级学生，硕士二年级及以上学生（含博士生）参加助教助管不予赋分。同时参加助教、助管工作不予累计加分。亚欧语言文学班参与助教助管工作不予赋分。</w:t>
      </w:r>
    </w:p>
    <w:p>
      <w:pPr>
        <w:pStyle w:val="3"/>
        <w:spacing w:before="0" w:beforeAutospacing="0" w:after="0" w:afterAutospacing="0"/>
        <w:ind w:firstLine="0"/>
        <w:rPr>
          <w:rFonts w:hint="eastAsia" w:ascii="Times New Roman" w:hAnsi="Times New Roman" w:eastAsia="宋体" w:cs="Times New Roman"/>
          <w:kern w:val="2"/>
          <w:sz w:val="21"/>
          <w:szCs w:val="24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</w:rPr>
        <w:t>5、硕士生在研一参加社会实践可获加分，以个人名义参加赋1分，参加学院、班级团队赋2分，参加学校级（如研工部、校团委等）及以上团队赋3分，作为团队领队在此基础上多加1分。参加多个团队取高赋分，不累计加分。团队如在研工部或校团委暑期社会实践评比中获优秀团队称号的，团队成员可在第二学年评优时赋2分。以上量化可根据参与的表现酌情增减赋分。</w:t>
      </w:r>
    </w:p>
    <w:p>
      <w:pPr>
        <w:pStyle w:val="3"/>
        <w:spacing w:before="0" w:beforeAutospacing="0" w:after="0" w:afterAutospacing="0"/>
        <w:ind w:firstLine="0"/>
        <w:rPr>
          <w:rFonts w:hint="eastAsia" w:ascii="Times New Roman" w:hAnsi="Times New Roman" w:eastAsia="宋体" w:cs="Times New Roman"/>
          <w:kern w:val="2"/>
          <w:sz w:val="21"/>
          <w:szCs w:val="24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</w:rPr>
        <w:t>6、延期毕业学生一律不予参评。</w:t>
      </w:r>
    </w:p>
    <w:p>
      <w:pPr>
        <w:pStyle w:val="3"/>
        <w:spacing w:before="0" w:beforeAutospacing="0" w:after="0" w:afterAutospacing="0"/>
        <w:ind w:firstLine="0"/>
        <w:rPr>
          <w:rFonts w:hint="eastAsia" w:ascii="Times New Roman" w:hAnsi="Times New Roman" w:eastAsia="宋体" w:cs="Times New Roman"/>
          <w:kern w:val="2"/>
          <w:sz w:val="21"/>
          <w:szCs w:val="24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</w:rPr>
        <w:t>7、博士生参评时第二学年起不统计课程成绩（但必须按期完成正常的教学环节），科研成果统计时总分不予封顶。</w:t>
      </w:r>
    </w:p>
    <w:p>
      <w:pPr>
        <w:pStyle w:val="3"/>
        <w:spacing w:before="0" w:beforeAutospacing="0" w:after="0" w:afterAutospacing="0"/>
        <w:ind w:firstLine="0"/>
        <w:rPr>
          <w:rFonts w:hint="eastAsia" w:ascii="Times New Roman" w:hAnsi="Times New Roman" w:eastAsia="宋体" w:cs="Times New Roman"/>
          <w:kern w:val="2"/>
          <w:sz w:val="21"/>
          <w:szCs w:val="24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</w:rPr>
        <w:t>8、硕士生作为志愿者参与学院举办的国际、国内学术会议，需有会议负责人出具参与会议的全部学生名单、工作量及评价的证明，方可适当赋分（1-2分）。</w:t>
      </w:r>
    </w:p>
    <w:p>
      <w:pPr>
        <w:pStyle w:val="3"/>
        <w:spacing w:before="0" w:beforeAutospacing="0" w:after="0" w:afterAutospacing="0"/>
        <w:ind w:firstLine="0"/>
        <w:rPr>
          <w:rFonts w:hint="eastAsia" w:ascii="Times New Roman" w:hAnsi="Times New Roman" w:eastAsia="宋体" w:cs="Times New Roman"/>
          <w:color w:val="FF0000"/>
          <w:kern w:val="2"/>
          <w:sz w:val="21"/>
          <w:szCs w:val="24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</w:rPr>
        <w:t>9、学院研究生干部的职务限于以下：校院研究生会干部（含干事）（校研究生会干部10分、院研究生会主席团10分、校院研究生会干事8分）、研究生党总支委员（8分）、研究生团总支书记（8分）、党支委（支部书记（8分）、支部组织委员（6分）、宣传委员（6分））、班长（8分）、团支部书记（6分）、心理委员（6分）。班级自选的其他干部不予赋分</w:t>
      </w:r>
      <w:r>
        <w:rPr>
          <w:rFonts w:hint="eastAsia" w:ascii="Times New Roman" w:hAnsi="Times New Roman" w:eastAsia="宋体" w:cs="Times New Roman"/>
          <w:color w:val="FF0000"/>
          <w:kern w:val="2"/>
          <w:sz w:val="21"/>
          <w:szCs w:val="24"/>
        </w:rPr>
        <w:t>。该赋分标准为基础标准，可根据研究生干部具体工作情况进行调整。</w:t>
      </w:r>
    </w:p>
    <w:p>
      <w:pPr>
        <w:pStyle w:val="3"/>
        <w:spacing w:before="0" w:beforeAutospacing="0" w:after="0" w:afterAutospacing="0"/>
        <w:ind w:firstLine="0"/>
        <w:rPr>
          <w:rFonts w:hint="eastAsia" w:ascii="Times New Roman" w:hAnsi="Times New Roman" w:eastAsia="宋体" w:cs="Times New Roman"/>
          <w:kern w:val="2"/>
          <w:sz w:val="21"/>
          <w:szCs w:val="24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</w:rPr>
        <w:t>10、因期刊等级调整，学术期刊等级以学校最新公布的为准（研究生院网上可查）。增刊均视为一般期刊。学术期刊等级以发文年度的学术期刊目录为准。</w:t>
      </w:r>
    </w:p>
    <w:p>
      <w:pPr>
        <w:pStyle w:val="3"/>
        <w:spacing w:before="0" w:beforeAutospacing="0" w:after="0" w:afterAutospacing="0"/>
        <w:ind w:firstLine="0"/>
        <w:rPr>
          <w:rFonts w:hint="eastAsia" w:ascii="Times New Roman" w:hAnsi="Times New Roman" w:eastAsia="宋体" w:cs="Times New Roman"/>
          <w:color w:val="FF0000"/>
          <w:kern w:val="2"/>
          <w:sz w:val="21"/>
          <w:szCs w:val="24"/>
        </w:rPr>
      </w:pPr>
      <w:r>
        <w:rPr>
          <w:rFonts w:hint="eastAsia" w:ascii="Times New Roman" w:hAnsi="Times New Roman" w:eastAsia="宋体" w:cs="Times New Roman"/>
          <w:color w:val="FF0000"/>
          <w:kern w:val="2"/>
          <w:sz w:val="21"/>
          <w:szCs w:val="24"/>
        </w:rPr>
        <w:t>11、硕士生及博士生均需在第一学年修完课程学分，未修完课程学分者一律不予参评。</w:t>
      </w:r>
    </w:p>
    <w:p>
      <w:pPr>
        <w:pStyle w:val="3"/>
        <w:spacing w:before="0" w:beforeAutospacing="0" w:after="0" w:afterAutospacing="0"/>
        <w:ind w:firstLine="0"/>
        <w:rPr>
          <w:rFonts w:hint="eastAsia" w:ascii="Times New Roman" w:hAnsi="Times New Roman" w:eastAsia="宋体" w:cs="Times New Roman"/>
          <w:kern w:val="2"/>
          <w:sz w:val="21"/>
          <w:szCs w:val="24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51331"/>
    <w:multiLevelType w:val="multilevel"/>
    <w:tmpl w:val="1B251331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4F926D2A"/>
    <w:multiLevelType w:val="multilevel"/>
    <w:tmpl w:val="4F926D2A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367BE7"/>
    <w:rsid w:val="49367BE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after="120" w:afterLines="0"/>
      <w:ind w:left="420" w:leftChars="200"/>
    </w:pPr>
  </w:style>
  <w:style w:type="paragraph" w:styleId="3">
    <w:name w:val="Normal (Web)"/>
    <w:basedOn w:val="1"/>
    <w:uiPriority w:val="0"/>
    <w:pPr>
      <w:widowControl/>
      <w:spacing w:before="100" w:beforeLines="0" w:beforeAutospacing="1" w:after="100" w:afterLines="0" w:afterAutospacing="1" w:line="408" w:lineRule="auto"/>
      <w:ind w:firstLine="360"/>
      <w:jc w:val="left"/>
    </w:pPr>
    <w:rPr>
      <w:rFonts w:ascii="_x000B__x000C_" w:hAnsi="_x000B__x000C_" w:eastAsia="Arial Unicode MS" w:cs="Arial Unicode MS"/>
      <w:kern w:val="0"/>
      <w:sz w:val="18"/>
      <w:szCs w:val="18"/>
    </w:rPr>
  </w:style>
  <w:style w:type="character" w:customStyle="1" w:styleId="6">
    <w:name w:val="headline1"/>
    <w:basedOn w:val="4"/>
    <w:qFormat/>
    <w:uiPriority w:val="0"/>
    <w:rPr>
      <w:rFonts w:hint="default" w:ascii="_x000B__x000C_" w:hAnsi="_x000B__x000C_"/>
      <w:b/>
      <w:bCs/>
      <w:color w:val="1E2D4F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2016-09-20T00:58:00Z</dcterms:created>
  <dc:creator>Admin</dc:creator>
  <cp:lastModifiedBy>Admin</cp:lastModifiedBy>
  <dcterms:modified xsi:type="dcterms:W3CDTF">2016-09-20T00:59:38Z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