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5F" w:rsidRPr="0041203E" w:rsidRDefault="00B0017D" w:rsidP="00937913">
      <w:pPr>
        <w:spacing w:line="360" w:lineRule="auto"/>
        <w:ind w:firstLineChars="235" w:firstLine="708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浙江大学</w:t>
      </w:r>
      <w:r w:rsidR="00685F5F"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外国语言文化</w:t>
      </w:r>
      <w:r w:rsidR="00685F5F" w:rsidRPr="0041203E">
        <w:rPr>
          <w:rFonts w:asciiTheme="minorEastAsia" w:eastAsiaTheme="minorEastAsia" w:hAnsiTheme="minorEastAsia"/>
          <w:b/>
          <w:bCs/>
          <w:sz w:val="30"/>
          <w:szCs w:val="30"/>
        </w:rPr>
        <w:t>与国际交流</w:t>
      </w:r>
      <w:r w:rsidRPr="0041203E">
        <w:rPr>
          <w:rFonts w:asciiTheme="minorEastAsia" w:eastAsiaTheme="minorEastAsia" w:hAnsiTheme="minorEastAsia"/>
          <w:b/>
          <w:bCs/>
          <w:sz w:val="30"/>
          <w:szCs w:val="30"/>
        </w:rPr>
        <w:t>学院</w:t>
      </w:r>
    </w:p>
    <w:p w:rsidR="00B0017D" w:rsidRPr="0041203E" w:rsidRDefault="00793226" w:rsidP="00937913">
      <w:pPr>
        <w:spacing w:line="360" w:lineRule="auto"/>
        <w:ind w:firstLineChars="235" w:firstLine="708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2021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-2022</w:t>
      </w:r>
      <w:r w:rsidR="00B0017D"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学年年末专项补助实施方案</w:t>
      </w:r>
    </w:p>
    <w:p w:rsidR="00B0017D" w:rsidRPr="00937913" w:rsidRDefault="00B0017D" w:rsidP="00937913">
      <w:pPr>
        <w:spacing w:line="360" w:lineRule="auto"/>
        <w:ind w:firstLineChars="235" w:firstLine="566"/>
        <w:rPr>
          <w:rFonts w:asciiTheme="minorEastAsia" w:eastAsiaTheme="minorEastAsia" w:hAnsiTheme="minorEastAsia"/>
          <w:b/>
          <w:bCs/>
          <w:sz w:val="24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一、资助对象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根据《浙江大学本科学生资助工作管理办法》（浙大发本〔2019〕162 号）和《浙江大学本科学生困难补助实施细则》要求，对</w:t>
      </w:r>
      <w:r w:rsidR="00685F5F" w:rsidRPr="00685F5F">
        <w:rPr>
          <w:rFonts w:asciiTheme="minorEastAsia" w:eastAsiaTheme="minorEastAsia" w:hAnsiTheme="minorEastAsia" w:hint="eastAsia"/>
          <w:sz w:val="28"/>
          <w:szCs w:val="28"/>
        </w:rPr>
        <w:t>家庭经济困难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生展开年末专项补助工作。资助对象应符合以下申请条件：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（一）基本条件：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 1.具有中华人民共和国国籍，且持有中华人民共和国居民身份证的浙江大学全日制在读本科学生。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2.拥护党的方针政策，遵守国家法律及学校规章制度，思想品德良好。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3.学习努力，态度端正。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4.学校认定的经济困难生，或因突发事件造成经济特殊困难的学生。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（二）学生在校期间，凡出现以下情况之一者，不具备申请资格：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1.违反校纪校规受到处分；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2.休学期间；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3.退学试读期间；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4.瞒报家庭成员及经济收入，弄虚作假取得补助金；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5.学习态度不端正，学习不努力，造成学习成绩低劣；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6.平时生活挥霍浪费；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7.不履行受助义务（如不按时做好学年小结、不及时对捐资人要求的情况进行反馈、不参加学校要求的公益和实践活动等），并经教育仍不改正。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8.学生在校期间获得的无偿资助总额达到4.4万元人民币（五年制及以上者为5.5万元），或全部资助总额达6.4万元（五年制学生为8万元）。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有上述第2项、第3项情形的学生复学后可重新申请困难补助；有上述第1项、第5项、第6项、第7项情形的学生，经教育帮助，考察一年后有明显进步的，可酌情重新审定其困难补助申请；有上述第4项情形的学生，令其偿还所发的困难补助，并根据情节给予批评教育直至纪律处分。</w:t>
      </w:r>
    </w:p>
    <w:p w:rsidR="00C07E40" w:rsidRPr="00685F5F" w:rsidRDefault="00C07E40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二、资助</w:t>
      </w:r>
      <w:r w:rsidR="00EA5509"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类型</w:t>
      </w: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和资助标准</w:t>
      </w:r>
    </w:p>
    <w:p w:rsidR="00C07E40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春节补助：春节慰问及回乡路费的补助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按学生回家路程远近确定额度</w:t>
      </w:r>
      <w:r w:rsid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5B7967" w:rsidRP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建档立卡学生额外补助500元。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参考</w:t>
      </w:r>
      <w:r w:rsidR="005B796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标准如下：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2263"/>
      </w:tblGrid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补助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标准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新疆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500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-2000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西藏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-3000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海南、青海、内蒙古、甘肃、宁夏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黑龙江、吉林、辽宁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广西、云南、贵州、重庆、四川、山西、陕西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A15D5D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1000-1</w:t>
            </w:r>
            <w:r w:rsidR="00A15D5D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广东、湖南、湖北、河南、山东、河北、北京、天津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福建、安徽、江西、江苏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500-1000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上海、浙江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300-500</w:t>
            </w:r>
          </w:p>
        </w:tc>
      </w:tr>
    </w:tbl>
    <w:p w:rsidR="00103375" w:rsidRDefault="00103375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</w:p>
    <w:p w:rsidR="00167AA7" w:rsidRPr="00EC1D31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寒衣补助：对新生越冬御寒衣物的补助。本学年新认定的经困生具有资格申请，原则上经困生在校期间可申请一次。</w:t>
      </w:r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特殊困难学生补助500元，一般困难学生补助300元。</w:t>
      </w:r>
    </w:p>
    <w:p w:rsidR="00167AA7" w:rsidRPr="00EC1D31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保险费补助：对新生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“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医疗保险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”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的补助。本学年新认定的经困生具有资格申请，原则上经困生在校期间可申请一次。</w:t>
      </w:r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以学生参保实际费用</w:t>
      </w:r>
      <w:r w:rsidR="00DC6AD4">
        <w:rPr>
          <w:rFonts w:asciiTheme="minorEastAsia" w:eastAsiaTheme="minorEastAsia" w:hAnsiTheme="minorEastAsia" w:hint="eastAsia"/>
          <w:sz w:val="28"/>
          <w:szCs w:val="28"/>
        </w:rPr>
        <w:t>360</w:t>
      </w:r>
      <w:bookmarkStart w:id="0" w:name="_GoBack"/>
      <w:bookmarkEnd w:id="0"/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元为准进行补助。</w:t>
      </w:r>
    </w:p>
    <w:p w:rsidR="00C07E40" w:rsidRPr="00685F5F" w:rsidRDefault="00C07E40" w:rsidP="00C07E40">
      <w:pPr>
        <w:widowControl/>
        <w:tabs>
          <w:tab w:val="left" w:pos="0"/>
        </w:tabs>
        <w:snapToGrid w:val="0"/>
        <w:spacing w:line="360" w:lineRule="auto"/>
        <w:ind w:left="142" w:firstLineChars="176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0017D" w:rsidRPr="00685F5F" w:rsidRDefault="00EA5509" w:rsidP="00C07E40">
      <w:pPr>
        <w:widowControl/>
        <w:tabs>
          <w:tab w:val="left" w:pos="0"/>
        </w:tabs>
        <w:snapToGrid w:val="0"/>
        <w:spacing w:line="360" w:lineRule="auto"/>
        <w:ind w:left="142" w:firstLineChars="176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B0017D" w:rsidRPr="00685F5F">
        <w:rPr>
          <w:rFonts w:asciiTheme="minorEastAsia" w:eastAsiaTheme="minorEastAsia" w:hAnsiTheme="minorEastAsia" w:hint="eastAsia"/>
          <w:b/>
          <w:sz w:val="28"/>
          <w:szCs w:val="28"/>
        </w:rPr>
        <w:t>其他说明</w:t>
      </w:r>
    </w:p>
    <w:p w:rsidR="00937913" w:rsidRPr="00685F5F" w:rsidRDefault="00B0017D" w:rsidP="00937913">
      <w:pPr>
        <w:widowControl/>
        <w:tabs>
          <w:tab w:val="left" w:pos="1215"/>
        </w:tabs>
        <w:spacing w:line="360" w:lineRule="auto"/>
        <w:ind w:firstLineChars="235" w:firstLine="658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以上补助在学生本人申请的基础上发放</w:t>
      </w:r>
      <w:r w:rsidR="00937913" w:rsidRPr="00685F5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37913" w:rsidRPr="00685F5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如有特殊情况，经学院审定后酌情处理。</w:t>
      </w:r>
    </w:p>
    <w:p w:rsidR="00B0017D" w:rsidRPr="00685F5F" w:rsidRDefault="00B0017D" w:rsidP="00937913">
      <w:pPr>
        <w:widowControl/>
        <w:tabs>
          <w:tab w:val="left" w:pos="0"/>
        </w:tabs>
        <w:snapToGrid w:val="0"/>
        <w:spacing w:line="360" w:lineRule="auto"/>
        <w:ind w:firstLineChars="235" w:firstLine="66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A824AD" w:rsidRPr="00685F5F" w:rsidRDefault="00937913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外国语言文化与国际交流学院</w:t>
      </w:r>
    </w:p>
    <w:p w:rsidR="00937913" w:rsidRPr="00685F5F" w:rsidRDefault="00937913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93226">
        <w:rPr>
          <w:rFonts w:asciiTheme="minorEastAsia" w:eastAsiaTheme="minorEastAsia" w:hAnsiTheme="minorEastAsia"/>
          <w:sz w:val="28"/>
          <w:szCs w:val="28"/>
        </w:rPr>
        <w:t>1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年1</w:t>
      </w:r>
      <w:r w:rsidR="00793226">
        <w:rPr>
          <w:rFonts w:asciiTheme="minorEastAsia" w:eastAsiaTheme="minorEastAsia" w:hAnsiTheme="minorEastAsia"/>
          <w:sz w:val="28"/>
          <w:szCs w:val="28"/>
        </w:rPr>
        <w:t>1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9322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357C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37913" w:rsidRPr="0068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31" w:rsidRDefault="00EF4A31" w:rsidP="00035A16">
      <w:r>
        <w:separator/>
      </w:r>
    </w:p>
  </w:endnote>
  <w:endnote w:type="continuationSeparator" w:id="0">
    <w:p w:rsidR="00EF4A31" w:rsidRDefault="00EF4A31" w:rsidP="000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31" w:rsidRDefault="00EF4A31" w:rsidP="00035A16">
      <w:r>
        <w:separator/>
      </w:r>
    </w:p>
  </w:footnote>
  <w:footnote w:type="continuationSeparator" w:id="0">
    <w:p w:rsidR="00EF4A31" w:rsidRDefault="00EF4A31" w:rsidP="0003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AF1"/>
    <w:multiLevelType w:val="multilevel"/>
    <w:tmpl w:val="3BDD4AF1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2"/>
    <w:rsid w:val="00022069"/>
    <w:rsid w:val="00035A16"/>
    <w:rsid w:val="00081E2E"/>
    <w:rsid w:val="00103375"/>
    <w:rsid w:val="00167AA7"/>
    <w:rsid w:val="00180846"/>
    <w:rsid w:val="001A6574"/>
    <w:rsid w:val="002341C0"/>
    <w:rsid w:val="00241D0F"/>
    <w:rsid w:val="002C1405"/>
    <w:rsid w:val="002D2FB0"/>
    <w:rsid w:val="0036383B"/>
    <w:rsid w:val="00396DE5"/>
    <w:rsid w:val="004015E9"/>
    <w:rsid w:val="0041203E"/>
    <w:rsid w:val="0047447B"/>
    <w:rsid w:val="004915B6"/>
    <w:rsid w:val="00496C00"/>
    <w:rsid w:val="005154E5"/>
    <w:rsid w:val="005353B0"/>
    <w:rsid w:val="005817F6"/>
    <w:rsid w:val="005A60B2"/>
    <w:rsid w:val="005B1EC8"/>
    <w:rsid w:val="005B7967"/>
    <w:rsid w:val="005F3D43"/>
    <w:rsid w:val="00604B39"/>
    <w:rsid w:val="00666EDF"/>
    <w:rsid w:val="00685F5F"/>
    <w:rsid w:val="006A32C1"/>
    <w:rsid w:val="006D6202"/>
    <w:rsid w:val="006D721A"/>
    <w:rsid w:val="007357C2"/>
    <w:rsid w:val="00752895"/>
    <w:rsid w:val="00757D56"/>
    <w:rsid w:val="00793226"/>
    <w:rsid w:val="007E29E3"/>
    <w:rsid w:val="007E718E"/>
    <w:rsid w:val="007F5A69"/>
    <w:rsid w:val="008334C2"/>
    <w:rsid w:val="00844FC3"/>
    <w:rsid w:val="008D0402"/>
    <w:rsid w:val="008E2233"/>
    <w:rsid w:val="00935890"/>
    <w:rsid w:val="00937913"/>
    <w:rsid w:val="0098254F"/>
    <w:rsid w:val="00997A34"/>
    <w:rsid w:val="009D48F3"/>
    <w:rsid w:val="00A15D5D"/>
    <w:rsid w:val="00A824AD"/>
    <w:rsid w:val="00A906D7"/>
    <w:rsid w:val="00B0017D"/>
    <w:rsid w:val="00B04BB8"/>
    <w:rsid w:val="00B06186"/>
    <w:rsid w:val="00B1285D"/>
    <w:rsid w:val="00B307F8"/>
    <w:rsid w:val="00B56ED6"/>
    <w:rsid w:val="00BB5AFC"/>
    <w:rsid w:val="00C07E40"/>
    <w:rsid w:val="00C5592A"/>
    <w:rsid w:val="00CF386F"/>
    <w:rsid w:val="00D2391F"/>
    <w:rsid w:val="00D44C85"/>
    <w:rsid w:val="00DC6AD4"/>
    <w:rsid w:val="00E54731"/>
    <w:rsid w:val="00E62935"/>
    <w:rsid w:val="00EA5509"/>
    <w:rsid w:val="00EC5DCE"/>
    <w:rsid w:val="00ED6CF2"/>
    <w:rsid w:val="00EF4A31"/>
    <w:rsid w:val="00EF4DF1"/>
    <w:rsid w:val="00F56C04"/>
    <w:rsid w:val="00FF32F9"/>
    <w:rsid w:val="114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AAF02-15CC-468C-B67B-8C6866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136EC2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0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00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A090D-84EC-4789-93A5-11A2F55D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171</Words>
  <Characters>975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蒋艳冬</cp:lastModifiedBy>
  <cp:revision>19</cp:revision>
  <dcterms:created xsi:type="dcterms:W3CDTF">2020-12-03T01:10:00Z</dcterms:created>
  <dcterms:modified xsi:type="dcterms:W3CDTF">2021-11-24T06:47:00Z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